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8E4A06" w14:textId="48FCC575" w:rsidR="002E0B32" w:rsidRPr="002E0B32" w:rsidRDefault="002E0B32" w:rsidP="002E0B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E0B32">
        <w:rPr>
          <w:rFonts w:ascii="Times New Roman" w:hAnsi="Times New Roman" w:cs="Times New Roman"/>
          <w:b/>
          <w:bCs/>
          <w:sz w:val="28"/>
          <w:szCs w:val="28"/>
        </w:rPr>
        <w:t>Wymagania na poszc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zególne oceny z historii klasa </w:t>
      </w:r>
      <w:r w:rsidRPr="002E0B32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</w:p>
    <w:p w14:paraId="14BAB5CE" w14:textId="77777777" w:rsidR="002E0B32" w:rsidRPr="002E0B32" w:rsidRDefault="002E0B32" w:rsidP="002E0B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E0B32">
        <w:rPr>
          <w:rFonts w:ascii="Times New Roman" w:hAnsi="Times New Roman" w:cs="Times New Roman"/>
          <w:b/>
          <w:bCs/>
          <w:sz w:val="28"/>
          <w:szCs w:val="28"/>
        </w:rPr>
        <w:t>Rok szkolny 2019/20</w:t>
      </w:r>
    </w:p>
    <w:p w14:paraId="04166B72" w14:textId="77777777" w:rsidR="002E0B32" w:rsidRPr="002E0B32" w:rsidRDefault="002E0B32" w:rsidP="002E0B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E0B32">
        <w:rPr>
          <w:rFonts w:ascii="Times New Roman" w:hAnsi="Times New Roman" w:cs="Times New Roman"/>
          <w:b/>
          <w:bCs/>
          <w:sz w:val="28"/>
          <w:szCs w:val="28"/>
        </w:rPr>
        <w:t>Nauczyciel Dariusz Pawelec</w:t>
      </w:r>
    </w:p>
    <w:p w14:paraId="137C3E8E" w14:textId="0D655910" w:rsidR="007171A6" w:rsidRPr="00DC3610" w:rsidRDefault="007171A6" w:rsidP="002E0B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pismo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przyporządkowuje różne rodzaje pisma do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przykładach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4C81E3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2E0B32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2E0B32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2E0B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2E0B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2E0B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2E0B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2E0B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="007171A6" w:rsidRPr="002E0B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2E0B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2E0B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2E0B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2E0B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2E0B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2E0B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2E0B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2E0B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2E0B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0FBE" w:rsidRPr="002E0B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trojańska</w:t>
            </w:r>
            <w:r w:rsidR="00670FBE" w:rsidRPr="002E0B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70FBE" w:rsidRPr="002E0B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E0B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 trojański</w:t>
            </w:r>
            <w:r w:rsidR="007171A6" w:rsidRPr="002E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14829A9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historyczne: Romulus 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świętego Piotra, świętego Pawła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pojawienia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</w:t>
            </w:r>
            <w:r w:rsidR="002300E2">
              <w:lastRenderedPageBreak/>
              <w:t xml:space="preserve">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</w:t>
            </w:r>
            <w:r w:rsidR="003011FF" w:rsidRPr="00DC3610">
              <w:rPr>
                <w:i/>
                <w:iCs/>
              </w:rPr>
              <w:lastRenderedPageBreak/>
              <w:t>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Mieszko II, Kazimierz Odnowiciel, Bolesław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ziemie utracone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III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1D42" w14:textId="77777777" w:rsidR="00625D3B" w:rsidRDefault="00625D3B" w:rsidP="007B1B87">
      <w:pPr>
        <w:spacing w:after="0" w:line="240" w:lineRule="auto"/>
      </w:pPr>
      <w:r>
        <w:separator/>
      </w:r>
    </w:p>
  </w:endnote>
  <w:endnote w:type="continuationSeparator" w:id="0">
    <w:p w14:paraId="026DEDBD" w14:textId="77777777" w:rsidR="00625D3B" w:rsidRDefault="00625D3B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6B02" w14:textId="08E5E4E3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E0B32">
      <w:rPr>
        <w:noProof/>
      </w:rPr>
      <w:t>24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6F7F7" w14:textId="77777777" w:rsidR="00625D3B" w:rsidRDefault="00625D3B" w:rsidP="007B1B87">
      <w:pPr>
        <w:spacing w:after="0" w:line="240" w:lineRule="auto"/>
      </w:pPr>
      <w:r>
        <w:separator/>
      </w:r>
    </w:p>
  </w:footnote>
  <w:footnote w:type="continuationSeparator" w:id="0">
    <w:p w14:paraId="0DA24925" w14:textId="77777777" w:rsidR="00625D3B" w:rsidRDefault="00625D3B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0B32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5D3B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0A71-6AB4-4DA7-A50F-1E7A8FE7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8085</Words>
  <Characters>48514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D P</cp:lastModifiedBy>
  <cp:revision>2</cp:revision>
  <cp:lastPrinted>2017-09-06T11:26:00Z</cp:lastPrinted>
  <dcterms:created xsi:type="dcterms:W3CDTF">2019-12-01T18:08:00Z</dcterms:created>
  <dcterms:modified xsi:type="dcterms:W3CDTF">2019-12-01T18:08:00Z</dcterms:modified>
</cp:coreProperties>
</file>